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9FA" w:rsidRPr="001C0DF1" w:rsidRDefault="0071269D" w:rsidP="00992501">
      <w:pPr>
        <w:ind w:left="0" w:firstLine="0"/>
        <w:jc w:val="center"/>
        <w:rPr>
          <w:color w:val="365F91" w:themeColor="accent1" w:themeShade="BF"/>
        </w:rPr>
      </w:pPr>
      <w:r w:rsidRPr="001C0DF1">
        <w:rPr>
          <w:noProof/>
          <w:color w:val="365F91" w:themeColor="accent1" w:themeShade="BF"/>
          <w:lang w:eastAsia="sl-SI"/>
        </w:rPr>
        <w:drawing>
          <wp:anchor distT="0" distB="0" distL="114300" distR="114300" simplePos="0" relativeHeight="251659776" behindDoc="0" locked="0" layoutInCell="1" allowOverlap="1">
            <wp:simplePos x="0" y="0"/>
            <wp:positionH relativeFrom="column">
              <wp:posOffset>2186305</wp:posOffset>
            </wp:positionH>
            <wp:positionV relativeFrom="paragraph">
              <wp:posOffset>-287020</wp:posOffset>
            </wp:positionV>
            <wp:extent cx="1424940" cy="774700"/>
            <wp:effectExtent l="19050" t="0" r="381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424940" cy="774700"/>
                    </a:xfrm>
                    <a:prstGeom prst="rect">
                      <a:avLst/>
                    </a:prstGeom>
                    <a:noFill/>
                    <a:ln w="9525">
                      <a:noFill/>
                      <a:miter lim="800000"/>
                      <a:headEnd/>
                      <a:tailEnd/>
                    </a:ln>
                  </pic:spPr>
                </pic:pic>
              </a:graphicData>
            </a:graphic>
          </wp:anchor>
        </w:drawing>
      </w:r>
      <w:r w:rsidRPr="001C0DF1">
        <w:rPr>
          <w:noProof/>
          <w:color w:val="365F91" w:themeColor="accent1" w:themeShade="BF"/>
          <w:lang w:eastAsia="sl-SI"/>
        </w:rPr>
        <w:drawing>
          <wp:anchor distT="0" distB="0" distL="114300" distR="114300" simplePos="0" relativeHeight="251658752" behindDoc="0" locked="0" layoutInCell="1" allowOverlap="1">
            <wp:simplePos x="0" y="0"/>
            <wp:positionH relativeFrom="column">
              <wp:posOffset>-185420</wp:posOffset>
            </wp:positionH>
            <wp:positionV relativeFrom="paragraph">
              <wp:posOffset>304165</wp:posOffset>
            </wp:positionV>
            <wp:extent cx="6220460" cy="257175"/>
            <wp:effectExtent l="19050" t="0" r="8890" b="0"/>
            <wp:wrapNone/>
            <wp:docPr id="8" name="Slika 5" descr="črta_mšš_č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črta_mšš_črna"/>
                    <pic:cNvPicPr>
                      <a:picLocks noChangeAspect="1" noChangeArrowheads="1"/>
                    </pic:cNvPicPr>
                  </pic:nvPicPr>
                  <pic:blipFill>
                    <a:blip r:embed="rId8" cstate="print"/>
                    <a:srcRect/>
                    <a:stretch>
                      <a:fillRect/>
                    </a:stretch>
                  </pic:blipFill>
                  <pic:spPr bwMode="auto">
                    <a:xfrm>
                      <a:off x="0" y="0"/>
                      <a:ext cx="6220460" cy="257175"/>
                    </a:xfrm>
                    <a:prstGeom prst="rect">
                      <a:avLst/>
                    </a:prstGeom>
                    <a:noFill/>
                    <a:ln w="9525">
                      <a:noFill/>
                      <a:miter lim="800000"/>
                      <a:headEnd/>
                      <a:tailEnd/>
                    </a:ln>
                  </pic:spPr>
                </pic:pic>
              </a:graphicData>
            </a:graphic>
          </wp:anchor>
        </w:drawing>
      </w:r>
      <w:r w:rsidRPr="001C0DF1">
        <w:rPr>
          <w:noProof/>
          <w:color w:val="365F91" w:themeColor="accent1" w:themeShade="BF"/>
          <w:lang w:eastAsia="sl-SI"/>
        </w:rPr>
        <w:drawing>
          <wp:anchor distT="0" distB="0" distL="114300" distR="114300" simplePos="0" relativeHeight="251657728" behindDoc="0" locked="0" layoutInCell="1" allowOverlap="1">
            <wp:simplePos x="0" y="0"/>
            <wp:positionH relativeFrom="column">
              <wp:posOffset>3687445</wp:posOffset>
            </wp:positionH>
            <wp:positionV relativeFrom="paragraph">
              <wp:posOffset>-224155</wp:posOffset>
            </wp:positionV>
            <wp:extent cx="2315210" cy="527685"/>
            <wp:effectExtent l="19050" t="0" r="8890" b="0"/>
            <wp:wrapNone/>
            <wp:docPr id="7" name="Slika 5" descr="logotipESS_slo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logotipESS_slo_cb"/>
                    <pic:cNvPicPr>
                      <a:picLocks noChangeAspect="1" noChangeArrowheads="1"/>
                    </pic:cNvPicPr>
                  </pic:nvPicPr>
                  <pic:blipFill>
                    <a:blip r:embed="rId9" cstate="print"/>
                    <a:srcRect/>
                    <a:stretch>
                      <a:fillRect/>
                    </a:stretch>
                  </pic:blipFill>
                  <pic:spPr bwMode="auto">
                    <a:xfrm>
                      <a:off x="0" y="0"/>
                      <a:ext cx="2315210" cy="527685"/>
                    </a:xfrm>
                    <a:prstGeom prst="rect">
                      <a:avLst/>
                    </a:prstGeom>
                    <a:noFill/>
                    <a:ln w="9525">
                      <a:noFill/>
                      <a:miter lim="800000"/>
                      <a:headEnd/>
                      <a:tailEnd/>
                    </a:ln>
                  </pic:spPr>
                </pic:pic>
              </a:graphicData>
            </a:graphic>
          </wp:anchor>
        </w:drawing>
      </w:r>
      <w:r w:rsidRPr="001C0DF1">
        <w:rPr>
          <w:noProof/>
          <w:color w:val="365F91" w:themeColor="accent1" w:themeShade="BF"/>
          <w:lang w:eastAsia="sl-SI"/>
        </w:rPr>
        <w:drawing>
          <wp:anchor distT="0" distB="0" distL="114300" distR="114300" simplePos="0" relativeHeight="251656704" behindDoc="0" locked="0" layoutInCell="1" allowOverlap="1">
            <wp:simplePos x="0" y="0"/>
            <wp:positionH relativeFrom="column">
              <wp:posOffset>-88900</wp:posOffset>
            </wp:positionH>
            <wp:positionV relativeFrom="paragraph">
              <wp:posOffset>-210820</wp:posOffset>
            </wp:positionV>
            <wp:extent cx="2099945" cy="514985"/>
            <wp:effectExtent l="19050" t="0" r="0" b="0"/>
            <wp:wrapNone/>
            <wp:docPr id="6" name="Slika 2" descr="logotip_mss_cb_si_krivul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_mss_cb_si_krivulje"/>
                    <pic:cNvPicPr>
                      <a:picLocks noChangeAspect="1" noChangeArrowheads="1"/>
                    </pic:cNvPicPr>
                  </pic:nvPicPr>
                  <pic:blipFill>
                    <a:blip r:embed="rId10" cstate="print"/>
                    <a:srcRect/>
                    <a:stretch>
                      <a:fillRect/>
                    </a:stretch>
                  </pic:blipFill>
                  <pic:spPr bwMode="auto">
                    <a:xfrm>
                      <a:off x="0" y="0"/>
                      <a:ext cx="2099945" cy="514985"/>
                    </a:xfrm>
                    <a:prstGeom prst="rect">
                      <a:avLst/>
                    </a:prstGeom>
                    <a:noFill/>
                    <a:ln w="9525">
                      <a:noFill/>
                      <a:miter lim="800000"/>
                      <a:headEnd/>
                      <a:tailEnd/>
                    </a:ln>
                  </pic:spPr>
                </pic:pic>
              </a:graphicData>
            </a:graphic>
          </wp:anchor>
        </w:drawing>
      </w:r>
      <w:r w:rsidR="00992501" w:rsidRPr="001C0DF1">
        <w:rPr>
          <w:rFonts w:ascii="Century Gothic" w:hAnsi="Century Gothic"/>
          <w:b/>
          <w:color w:val="365F91" w:themeColor="accent1" w:themeShade="BF"/>
          <w:sz w:val="40"/>
          <w:szCs w:val="40"/>
        </w:rPr>
        <w:t>ZNAK ISIO</w:t>
      </w:r>
    </w:p>
    <w:p w:rsidR="008C09FA" w:rsidRPr="001C0DF1" w:rsidRDefault="008C09FA" w:rsidP="004C24DB">
      <w:pPr>
        <w:rPr>
          <w:color w:val="365F91" w:themeColor="accent1" w:themeShade="BF"/>
        </w:rPr>
      </w:pPr>
    </w:p>
    <w:p w:rsidR="008C09FA" w:rsidRPr="001C0DF1" w:rsidRDefault="008C09FA" w:rsidP="004C24DB">
      <w:pPr>
        <w:rPr>
          <w:color w:val="365F91" w:themeColor="accent1" w:themeShade="BF"/>
        </w:rPr>
      </w:pPr>
    </w:p>
    <w:p w:rsidR="004C24DB" w:rsidRPr="001C0DF1" w:rsidRDefault="004C24DB" w:rsidP="004C24DB">
      <w:pPr>
        <w:rPr>
          <w:color w:val="365F91" w:themeColor="accent1" w:themeShade="BF"/>
        </w:rPr>
      </w:pPr>
    </w:p>
    <w:p w:rsidR="00992501" w:rsidRPr="001C0DF1" w:rsidRDefault="00D51FE8" w:rsidP="00D51FE8">
      <w:pPr>
        <w:ind w:left="0" w:firstLine="0"/>
        <w:jc w:val="both"/>
        <w:rPr>
          <w:rFonts w:ascii="Century Gothic" w:hAnsi="Century Gothic"/>
          <w:color w:val="365F91" w:themeColor="accent1" w:themeShade="BF"/>
        </w:rPr>
      </w:pPr>
      <w:r w:rsidRPr="001C0DF1">
        <w:rPr>
          <w:rFonts w:ascii="Century Gothic" w:hAnsi="Century Gothic"/>
          <w:color w:val="365F91" w:themeColor="accent1" w:themeShade="BF"/>
        </w:rPr>
        <w:t xml:space="preserve">Sodelavci svetovalnega središča </w:t>
      </w:r>
      <w:r w:rsidR="0071269D" w:rsidRPr="001C0DF1">
        <w:rPr>
          <w:rFonts w:ascii="Century Gothic" w:hAnsi="Century Gothic"/>
          <w:color w:val="365F91" w:themeColor="accent1" w:themeShade="BF"/>
        </w:rPr>
        <w:t>Gorenjska</w:t>
      </w:r>
      <w:r w:rsidRPr="001C0DF1">
        <w:rPr>
          <w:rFonts w:ascii="Century Gothic" w:hAnsi="Century Gothic"/>
          <w:color w:val="365F91" w:themeColor="accent1" w:themeShade="BF"/>
        </w:rPr>
        <w:t xml:space="preserve"> že vseskozi posvečamo veliko pozornosti kakovosti, da bi čim bolje  zadovoljili potrebe svojih strank in drugih partnerjev. Še bolj sistematično in poglobljeno pa si za nenehen razvoj kakovosti prizadevamo od leta 2009, ko smo prvič izvedli samoevalvacijo po modelu kakovosti, ki ga je razvil Andragoški center Slovenije. Prav sistematično in poglobljeno delo za razvoj kakovosti nam je omogočilo, da kot vodilo svojega dela sprejemamo</w:t>
      </w:r>
    </w:p>
    <w:p w:rsidR="00992501" w:rsidRPr="001C0DF1" w:rsidRDefault="00992501" w:rsidP="00992501">
      <w:pPr>
        <w:ind w:left="0" w:firstLine="0"/>
        <w:jc w:val="both"/>
        <w:rPr>
          <w:rFonts w:ascii="Century Gothic" w:hAnsi="Century Gothic"/>
          <w:color w:val="365F91" w:themeColor="accent1" w:themeShade="BF"/>
        </w:rPr>
      </w:pPr>
    </w:p>
    <w:p w:rsidR="00992501" w:rsidRPr="001C0DF1" w:rsidRDefault="00992501" w:rsidP="0071269D">
      <w:pPr>
        <w:ind w:left="0" w:firstLine="0"/>
        <w:jc w:val="center"/>
        <w:rPr>
          <w:rFonts w:ascii="Century Gothic" w:hAnsi="Century Gothic"/>
          <w:b/>
          <w:color w:val="365F91" w:themeColor="accent1" w:themeShade="BF"/>
          <w:sz w:val="40"/>
          <w:szCs w:val="40"/>
        </w:rPr>
      </w:pPr>
      <w:r w:rsidRPr="001C0DF1">
        <w:rPr>
          <w:rFonts w:ascii="Century Gothic" w:hAnsi="Century Gothic"/>
          <w:b/>
          <w:color w:val="365F91" w:themeColor="accent1" w:themeShade="BF"/>
          <w:sz w:val="40"/>
          <w:szCs w:val="40"/>
        </w:rPr>
        <w:t>IZJAVO O KAKOVOSTI SVETOVALNEGA SREDIŠČA</w:t>
      </w:r>
      <w:r w:rsidR="0071269D" w:rsidRPr="001C0DF1">
        <w:rPr>
          <w:rFonts w:ascii="Century Gothic" w:hAnsi="Century Gothic"/>
          <w:b/>
          <w:color w:val="365F91" w:themeColor="accent1" w:themeShade="BF"/>
          <w:sz w:val="40"/>
          <w:szCs w:val="40"/>
        </w:rPr>
        <w:t xml:space="preserve"> GORENJSKA</w:t>
      </w:r>
    </w:p>
    <w:p w:rsidR="00992501" w:rsidRPr="001C0DF1" w:rsidRDefault="00992501" w:rsidP="00992501">
      <w:pPr>
        <w:ind w:left="0" w:firstLine="0"/>
        <w:jc w:val="center"/>
        <w:rPr>
          <w:rFonts w:ascii="Century Gothic" w:hAnsi="Century Gothic"/>
          <w:color w:val="365F91" w:themeColor="accent1" w:themeShade="BF"/>
        </w:rPr>
      </w:pPr>
    </w:p>
    <w:p w:rsidR="00992501" w:rsidRPr="001C0DF1" w:rsidRDefault="00992501" w:rsidP="00992501">
      <w:pPr>
        <w:ind w:left="0" w:firstLine="0"/>
        <w:jc w:val="center"/>
        <w:rPr>
          <w:rFonts w:ascii="Century Gothic" w:hAnsi="Century Gothic"/>
          <w:b/>
          <w:color w:val="365F91" w:themeColor="accent1" w:themeShade="BF"/>
        </w:rPr>
      </w:pPr>
      <w:r w:rsidRPr="001C0DF1">
        <w:rPr>
          <w:rFonts w:ascii="Century Gothic" w:hAnsi="Century Gothic"/>
          <w:color w:val="365F91" w:themeColor="accent1" w:themeShade="BF"/>
        </w:rPr>
        <w:t xml:space="preserve">Z izjavo o kakovosti se zavezujemo, da svetovancem, financerjem in vsem drugim partnerjem zagotavljamo naslednje </w:t>
      </w:r>
      <w:r w:rsidRPr="001C0DF1">
        <w:rPr>
          <w:rFonts w:ascii="Century Gothic" w:hAnsi="Century Gothic"/>
          <w:b/>
          <w:color w:val="365F91" w:themeColor="accent1" w:themeShade="BF"/>
        </w:rPr>
        <w:t>standarde kakovosti:</w:t>
      </w:r>
    </w:p>
    <w:p w:rsidR="00992501" w:rsidRPr="001C0DF1" w:rsidRDefault="00992501" w:rsidP="00992501">
      <w:pPr>
        <w:ind w:left="0" w:firstLine="0"/>
        <w:jc w:val="center"/>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color w:val="365F91" w:themeColor="accent1" w:themeShade="BF"/>
        </w:rPr>
      </w:pPr>
      <w:r w:rsidRPr="001C0DF1">
        <w:rPr>
          <w:rFonts w:ascii="Century Gothic" w:hAnsi="Century Gothic"/>
          <w:b/>
          <w:color w:val="365F91" w:themeColor="accent1" w:themeShade="BF"/>
        </w:rPr>
        <w:t>Svetovalno središče si prizadeva za povečevanje dostopnosti svetovalnih storitev za odrasle v zvezi z izobraževanjem in učenjem ter se odziva na lokalne, regionalne in nacionalne potrebe</w:t>
      </w:r>
      <w:r w:rsidRPr="001C0DF1">
        <w:rPr>
          <w:rFonts w:ascii="Century Gothic" w:hAnsi="Century Gothic"/>
          <w:color w:val="365F91" w:themeColor="accent1" w:themeShade="BF"/>
        </w:rPr>
        <w:t>.</w:t>
      </w:r>
    </w:p>
    <w:p w:rsidR="00992501" w:rsidRPr="001C0DF1" w:rsidRDefault="00992501" w:rsidP="00992501">
      <w:pPr>
        <w:ind w:left="0" w:firstLine="0"/>
        <w:jc w:val="both"/>
        <w:rPr>
          <w:rFonts w:ascii="Century Gothic" w:hAnsi="Century Gothic"/>
          <w:color w:val="365F91" w:themeColor="accent1" w:themeShade="BF"/>
        </w:rPr>
      </w:pPr>
    </w:p>
    <w:p w:rsidR="00992501" w:rsidRPr="001C0DF1" w:rsidRDefault="00C77243"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 xml:space="preserve">Svetovalno dejavnost </w:t>
      </w:r>
      <w:r w:rsidR="00992501" w:rsidRPr="001C0DF1">
        <w:rPr>
          <w:rFonts w:ascii="Century Gothic" w:hAnsi="Century Gothic"/>
          <w:b/>
          <w:color w:val="365F91" w:themeColor="accent1" w:themeShade="BF"/>
        </w:rPr>
        <w:t>opravljajo strokovno usposobljeni svetovalci z ustreznimi osebnostnimi lastnostmi.</w:t>
      </w:r>
    </w:p>
    <w:p w:rsidR="00992501" w:rsidRPr="001C0DF1" w:rsidRDefault="00992501" w:rsidP="00992501">
      <w:pPr>
        <w:ind w:left="0" w:firstLine="0"/>
        <w:jc w:val="both"/>
        <w:rPr>
          <w:rFonts w:ascii="Century Gothic" w:hAnsi="Century Gothic"/>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zagotavlja primerne prostore, opremo, strokovno literaturo, bazo podatkov in svetovalne pripomočke, ki omogočajo celostno, kakovostno in poglobljeno svetovalno delo.</w:t>
      </w:r>
    </w:p>
    <w:p w:rsidR="00992501" w:rsidRPr="001C0DF1" w:rsidRDefault="00992501" w:rsidP="00992501">
      <w:pPr>
        <w:ind w:left="0" w:firstLine="0"/>
        <w:jc w:val="both"/>
        <w:rPr>
          <w:rFonts w:ascii="Century Gothic" w:hAnsi="Century Gothic"/>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zagotavlja svetovancem celosten svetovalni proces, ki jim je v pomoč pri odločanju in poteku izobraževanja in učenja.</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redno spremlja značilnosti svetovancev, ki so pomembne za odločanje ter uspešnost in učinkovitost izobraževanja.</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razvija partnerska omrežja za zagotavljanje celostnih in kakovostnih svetovalnih storitev ter načrtovanje in vrednotenje svetovalne dejavnosti v lokalnem okolju.</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Da bi zagotovili čim večjo dostopnost storitev svetovalnega središča vsem odraslim, svetovalno središče načrtno informira potencialne ciljne skupine in promovira svojo dejavnost.</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lastRenderedPageBreak/>
        <w:t>Svetovalno središče ima vpeljano sistematično presojanje in razvijanje kakovosti.</w:t>
      </w:r>
    </w:p>
    <w:p w:rsidR="00C77243" w:rsidRPr="001C0DF1" w:rsidRDefault="00C77243"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zagotavlja svetovalne storitve odraslim iz svojega okolja; pri tem namenja posebno pozornost tistim skupinam odraslih, ki imajo težji dostop do izobraževanja in učenja ali potrebujejo več podpore in pomoči pri izobraževanju in učenju.</w:t>
      </w:r>
    </w:p>
    <w:p w:rsidR="00992501" w:rsidRPr="001C0DF1" w:rsidRDefault="00992501" w:rsidP="00992501">
      <w:pPr>
        <w:ind w:left="0" w:firstLine="0"/>
        <w:jc w:val="both"/>
        <w:rPr>
          <w:rFonts w:ascii="Century Gothic" w:hAnsi="Century Gothic"/>
          <w:b/>
          <w:color w:val="365F91" w:themeColor="accent1" w:themeShade="BF"/>
        </w:rPr>
      </w:pPr>
    </w:p>
    <w:p w:rsidR="009C76B4" w:rsidRPr="001C0DF1" w:rsidRDefault="009C76B4"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zagotavlja kakovostne svetovalne storitve ter strankam pomaga k rešitvi njihovega problema.</w:t>
      </w:r>
    </w:p>
    <w:p w:rsidR="009C76B4" w:rsidRPr="001C0DF1" w:rsidRDefault="009C76B4"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pripomore k povečani vključenosti odraslih v vseživljenjsko učenje, povečanju učne uspešnosti in zmanjševanju osipa ter k zmanjševanju socialne izključenosti.</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Svetovalno središče je razvojno vpeto v okolje, v katerem deluje, v zavodu, kjer deluje, pa umeščeno na način, ki mu omogoča potrebno strokovno avtonomijo in delovne razmere v skladu s poslanstvom, ki ga ima kot regionalno informacijsko-svetovalno središče.</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V svetovalnem središču je organizacija dela učinkovita in tako v podporo svetovalnemu procesu, doseganju dobrih rezultatov in učinkov dela.</w:t>
      </w:r>
    </w:p>
    <w:p w:rsidR="00992501" w:rsidRPr="001C0DF1" w:rsidRDefault="00992501" w:rsidP="00992501">
      <w:pPr>
        <w:ind w:left="0" w:firstLine="0"/>
        <w:jc w:val="both"/>
        <w:rPr>
          <w:rFonts w:ascii="Century Gothic" w:hAnsi="Century Gothic"/>
          <w:b/>
          <w:color w:val="365F91" w:themeColor="accent1" w:themeShade="BF"/>
        </w:rPr>
      </w:pPr>
    </w:p>
    <w:p w:rsidR="00992501" w:rsidRPr="001C0DF1" w:rsidRDefault="00992501" w:rsidP="00992501">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Ravnanje z denarjem in drugimi sredstvi svetovalnega središča je pregledno in učinkovito.</w:t>
      </w:r>
    </w:p>
    <w:p w:rsidR="00992501" w:rsidRPr="001C0DF1" w:rsidRDefault="00992501" w:rsidP="00992501">
      <w:pPr>
        <w:ind w:left="0" w:firstLine="0"/>
        <w:jc w:val="center"/>
        <w:rPr>
          <w:rFonts w:ascii="Century Gothic" w:hAnsi="Century Gothic"/>
          <w:b/>
          <w:color w:val="365F91" w:themeColor="accent1" w:themeShade="BF"/>
        </w:rPr>
      </w:pPr>
    </w:p>
    <w:p w:rsidR="00992501" w:rsidRPr="001C0DF1" w:rsidRDefault="00992501" w:rsidP="00992501">
      <w:pPr>
        <w:jc w:val="center"/>
        <w:rPr>
          <w:rFonts w:ascii="Century Gothic" w:hAnsi="Century Gothic"/>
          <w:color w:val="365F91" w:themeColor="accent1" w:themeShade="BF"/>
        </w:rPr>
      </w:pPr>
      <w:r w:rsidRPr="001C0DF1">
        <w:rPr>
          <w:rFonts w:ascii="Century Gothic" w:hAnsi="Century Gothic"/>
          <w:color w:val="365F91" w:themeColor="accent1" w:themeShade="BF"/>
        </w:rPr>
        <w:t xml:space="preserve">Izjavo o kakovosti je sprejel </w:t>
      </w:r>
      <w:r w:rsidR="00C77243" w:rsidRPr="001C0DF1">
        <w:rPr>
          <w:rFonts w:ascii="Century Gothic" w:hAnsi="Century Gothic"/>
          <w:color w:val="365F91" w:themeColor="accent1" w:themeShade="BF"/>
        </w:rPr>
        <w:t>strateški svet</w:t>
      </w:r>
      <w:r w:rsidR="00914A5F">
        <w:rPr>
          <w:rFonts w:ascii="Century Gothic" w:hAnsi="Century Gothic"/>
          <w:color w:val="365F91" w:themeColor="accent1" w:themeShade="BF"/>
        </w:rPr>
        <w:t xml:space="preserve"> </w:t>
      </w:r>
      <w:r w:rsidR="00520BEB">
        <w:rPr>
          <w:rFonts w:ascii="Century Gothic" w:hAnsi="Century Gothic"/>
          <w:color w:val="365F91" w:themeColor="accent1" w:themeShade="BF"/>
        </w:rPr>
        <w:t>dne</w:t>
      </w:r>
      <w:r w:rsidR="00914A5F">
        <w:rPr>
          <w:rFonts w:ascii="Century Gothic" w:hAnsi="Century Gothic"/>
          <w:color w:val="365F91" w:themeColor="accent1" w:themeShade="BF"/>
        </w:rPr>
        <w:t>,</w:t>
      </w:r>
      <w:r w:rsidR="00520BEB">
        <w:rPr>
          <w:rFonts w:ascii="Century Gothic" w:hAnsi="Century Gothic"/>
          <w:color w:val="365F91" w:themeColor="accent1" w:themeShade="BF"/>
        </w:rPr>
        <w:t xml:space="preserve"> 04. 03. </w:t>
      </w:r>
      <w:r w:rsidRPr="001C0DF1">
        <w:rPr>
          <w:rFonts w:ascii="Century Gothic" w:hAnsi="Century Gothic"/>
          <w:color w:val="365F91" w:themeColor="accent1" w:themeShade="BF"/>
        </w:rPr>
        <w:t>2010.</w:t>
      </w:r>
    </w:p>
    <w:p w:rsidR="00992501" w:rsidRDefault="00992501" w:rsidP="00992501">
      <w:pPr>
        <w:jc w:val="center"/>
        <w:rPr>
          <w:rFonts w:ascii="Century Gothic" w:hAnsi="Century Gothic"/>
          <w:color w:val="365F91" w:themeColor="accent1" w:themeShade="BF"/>
        </w:rPr>
      </w:pPr>
    </w:p>
    <w:p w:rsidR="009250FA" w:rsidRDefault="009250FA" w:rsidP="00992501">
      <w:pPr>
        <w:jc w:val="center"/>
        <w:rPr>
          <w:rFonts w:ascii="Century Gothic" w:hAnsi="Century Gothic"/>
          <w:color w:val="365F91" w:themeColor="accent1" w:themeShade="BF"/>
        </w:rPr>
      </w:pPr>
    </w:p>
    <w:p w:rsidR="009250FA" w:rsidRPr="001C0DF1" w:rsidRDefault="009250FA" w:rsidP="00992501">
      <w:pPr>
        <w:jc w:val="center"/>
        <w:rPr>
          <w:rFonts w:ascii="Century Gothic" w:hAnsi="Century Gothic"/>
          <w:color w:val="365F91" w:themeColor="accent1" w:themeShade="BF"/>
        </w:rPr>
      </w:pPr>
    </w:p>
    <w:p w:rsidR="00A57A93" w:rsidRPr="001C0DF1" w:rsidRDefault="00A57A93" w:rsidP="00992501">
      <w:pPr>
        <w:jc w:val="center"/>
        <w:rPr>
          <w:rFonts w:ascii="Century Gothic" w:hAnsi="Century Gothic"/>
          <w:color w:val="365F91" w:themeColor="accent1" w:themeShade="BF"/>
        </w:rPr>
      </w:pPr>
    </w:p>
    <w:p w:rsidR="00A57A93" w:rsidRPr="001C0DF1" w:rsidRDefault="00A57A93" w:rsidP="00A57A93">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Svetovalk</w:t>
      </w:r>
      <w:r w:rsidR="00C77243" w:rsidRPr="001C0DF1">
        <w:rPr>
          <w:rFonts w:ascii="Century Gothic" w:hAnsi="Century Gothic"/>
          <w:b/>
          <w:color w:val="365F91" w:themeColor="accent1" w:themeShade="BF"/>
        </w:rPr>
        <w:t>i:</w:t>
      </w:r>
      <w:r w:rsidRPr="001C0DF1">
        <w:rPr>
          <w:rFonts w:ascii="Century Gothic" w:hAnsi="Century Gothic"/>
          <w:b/>
          <w:color w:val="365F91" w:themeColor="accent1" w:themeShade="BF"/>
        </w:rPr>
        <w:t xml:space="preserve">                                                             Vodja svetovalnega </w:t>
      </w:r>
    </w:p>
    <w:p w:rsidR="00C77243" w:rsidRPr="001C0DF1" w:rsidRDefault="00A57A93" w:rsidP="00C77243">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 xml:space="preserve">                                                                                       središča </w:t>
      </w:r>
    </w:p>
    <w:p w:rsidR="00C77243" w:rsidRPr="001C0DF1" w:rsidRDefault="00C77243" w:rsidP="00C77243">
      <w:pPr>
        <w:ind w:left="0" w:firstLine="0"/>
        <w:jc w:val="both"/>
        <w:rPr>
          <w:rFonts w:ascii="Century Gothic" w:hAnsi="Century Gothic"/>
          <w:b/>
          <w:color w:val="365F91" w:themeColor="accent1" w:themeShade="BF"/>
        </w:rPr>
      </w:pPr>
      <w:r w:rsidRPr="001C0DF1">
        <w:rPr>
          <w:rFonts w:ascii="Century Gothic" w:hAnsi="Century Gothic"/>
          <w:b/>
          <w:color w:val="365F91" w:themeColor="accent1" w:themeShade="BF"/>
        </w:rPr>
        <w:t xml:space="preserve">Tanja Sovulj                                                           mag. Maja Radinovič Hajdič </w:t>
      </w:r>
    </w:p>
    <w:p w:rsidR="00992501" w:rsidRPr="001C0DF1" w:rsidRDefault="00C77243" w:rsidP="00C77243">
      <w:pPr>
        <w:rPr>
          <w:color w:val="365F91" w:themeColor="accent1" w:themeShade="BF"/>
        </w:rPr>
      </w:pPr>
      <w:r w:rsidRPr="001C0DF1">
        <w:rPr>
          <w:rFonts w:ascii="Century Gothic" w:hAnsi="Century Gothic"/>
          <w:b/>
          <w:color w:val="365F91" w:themeColor="accent1" w:themeShade="BF"/>
        </w:rPr>
        <w:t>Lea Zlodej</w:t>
      </w:r>
    </w:p>
    <w:sectPr w:rsidR="00992501" w:rsidRPr="001C0DF1" w:rsidSect="009A381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0DE" w:rsidRDefault="004410DE" w:rsidP="00757AF7">
      <w:r>
        <w:separator/>
      </w:r>
    </w:p>
  </w:endnote>
  <w:endnote w:type="continuationSeparator" w:id="0">
    <w:p w:rsidR="004410DE" w:rsidRDefault="004410DE" w:rsidP="00757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F7" w:rsidRDefault="00757AF7" w:rsidP="00757AF7">
    <w:pPr>
      <w:jc w:val="both"/>
      <w:rPr>
        <w:sz w:val="16"/>
        <w:szCs w:val="16"/>
      </w:rPr>
    </w:pPr>
  </w:p>
  <w:p w:rsidR="00757AF7" w:rsidRDefault="00757AF7" w:rsidP="00757AF7">
    <w:pPr>
      <w:jc w:val="both"/>
      <w:rPr>
        <w:sz w:val="16"/>
        <w:szCs w:val="16"/>
      </w:rPr>
    </w:pPr>
  </w:p>
  <w:p w:rsidR="00757AF7" w:rsidRDefault="00786E60" w:rsidP="00757AF7">
    <w:pPr>
      <w:jc w:val="both"/>
      <w:rPr>
        <w:sz w:val="16"/>
        <w:szCs w:val="16"/>
      </w:rPr>
    </w:pPr>
    <w:r>
      <w:rPr>
        <w:noProof/>
        <w:sz w:val="16"/>
        <w:szCs w:val="16"/>
      </w:rPr>
      <w:pict>
        <v:shapetype id="_x0000_t32" coordsize="21600,21600" o:spt="32" o:oned="t" path="m,l21600,21600e" filled="f">
          <v:path arrowok="t" fillok="f" o:connecttype="none"/>
          <o:lock v:ext="edit" shapetype="t"/>
        </v:shapetype>
        <v:shape id="_x0000_s2049" type="#_x0000_t32" style="position:absolute;left:0;text-align:left;margin-left:.55pt;margin-top:8.35pt;width:452.2pt;height:1.15pt;z-index:251657728" o:connectortype="straight"/>
      </w:pict>
    </w:r>
  </w:p>
  <w:p w:rsidR="00757AF7" w:rsidRDefault="00757AF7" w:rsidP="00DD5A99">
    <w:pPr>
      <w:ind w:left="0" w:firstLine="0"/>
      <w:jc w:val="both"/>
    </w:pPr>
    <w:r w:rsidRPr="0067691D">
      <w:rPr>
        <w:sz w:val="16"/>
        <w:szCs w:val="16"/>
      </w:rPr>
      <w:t>Projekt financira</w:t>
    </w:r>
    <w:r>
      <w:rPr>
        <w:sz w:val="16"/>
        <w:szCs w:val="16"/>
      </w:rPr>
      <w:t>ta</w:t>
    </w:r>
    <w:r w:rsidRPr="0067691D">
      <w:rPr>
        <w:sz w:val="16"/>
        <w:szCs w:val="16"/>
      </w:rPr>
      <w:t xml:space="preserve"> Evropska unija iz Evropskega socialnega sklada ter Ministrstvo RS za šolstvo in šport. </w:t>
    </w:r>
    <w:r>
      <w:rPr>
        <w:sz w:val="16"/>
        <w:szCs w:val="16"/>
      </w:rPr>
      <w:t>Projekt</w:t>
    </w:r>
    <w:r w:rsidRPr="0067691D">
      <w:rPr>
        <w:sz w:val="16"/>
        <w:szCs w:val="16"/>
      </w:rPr>
      <w:t xml:space="preserve"> se izvaja v okviru </w:t>
    </w:r>
    <w:r w:rsidRPr="000D1B47">
      <w:rPr>
        <w:b/>
        <w:sz w:val="16"/>
        <w:szCs w:val="16"/>
      </w:rPr>
      <w:t>Operativnega programa razvoja človeških virov za obdobje 2007-2013</w:t>
    </w:r>
    <w:r w:rsidRPr="0067691D">
      <w:rPr>
        <w:sz w:val="16"/>
        <w:szCs w:val="16"/>
      </w:rPr>
      <w:t>, razvojne prioritete »</w:t>
    </w:r>
    <w:r w:rsidRPr="000D1B47">
      <w:rPr>
        <w:b/>
        <w:sz w:val="16"/>
        <w:szCs w:val="16"/>
      </w:rPr>
      <w:t>Razvoj človeških virov in vseživljenjskega učenja</w:t>
    </w:r>
    <w:r w:rsidRPr="0067691D">
      <w:rPr>
        <w:sz w:val="16"/>
        <w:szCs w:val="16"/>
      </w:rPr>
      <w:t>« in prednostne usmeritve »</w:t>
    </w:r>
    <w:r w:rsidRPr="000D1B47">
      <w:rPr>
        <w:b/>
        <w:sz w:val="16"/>
        <w:szCs w:val="16"/>
      </w:rPr>
      <w:t>Izboljševanje kakovosti in učinkovitosti sistemov izobraževanja in usposabljanja</w:t>
    </w:r>
    <w:r w:rsidRPr="0067691D">
      <w:rPr>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0DE" w:rsidRDefault="004410DE" w:rsidP="00757AF7">
      <w:r>
        <w:separator/>
      </w:r>
    </w:p>
  </w:footnote>
  <w:footnote w:type="continuationSeparator" w:id="0">
    <w:p w:rsidR="004410DE" w:rsidRDefault="004410DE" w:rsidP="00757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D6D1B"/>
    <w:multiLevelType w:val="hybridMultilevel"/>
    <w:tmpl w:val="42A8A14A"/>
    <w:lvl w:ilvl="0" w:tplc="D03042A6">
      <w:start w:val="1"/>
      <w:numFmt w:val="decimal"/>
      <w:lvlText w:val="%1."/>
      <w:lvlJc w:val="left"/>
      <w:pPr>
        <w:tabs>
          <w:tab w:val="num" w:pos="825"/>
        </w:tabs>
        <w:ind w:left="825" w:hanging="46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61607C04"/>
    <w:multiLevelType w:val="hybridMultilevel"/>
    <w:tmpl w:val="2FF8C260"/>
    <w:lvl w:ilvl="0" w:tplc="7B7CDDD2">
      <w:start w:val="2"/>
      <w:numFmt w:val="decimal"/>
      <w:lvlText w:val="%1."/>
      <w:lvlJc w:val="left"/>
      <w:pPr>
        <w:tabs>
          <w:tab w:val="num" w:pos="720"/>
        </w:tabs>
        <w:ind w:left="720" w:hanging="360"/>
      </w:pPr>
      <w:rPr>
        <w:rFonts w:hint="default"/>
        <w:color w:val="003366"/>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651D5FB3"/>
    <w:multiLevelType w:val="hybridMultilevel"/>
    <w:tmpl w:val="0BFADF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shapelayout v:ext="edit">
      <o:idmap v:ext="edit" data="2"/>
      <o:rules v:ext="edit">
        <o:r id="V:Rule2" type="connector" idref="#_x0000_s2049"/>
      </o:rules>
    </o:shapelayout>
  </w:hdrShapeDefaults>
  <w:footnotePr>
    <w:footnote w:id="-1"/>
    <w:footnote w:id="0"/>
  </w:footnotePr>
  <w:endnotePr>
    <w:endnote w:id="-1"/>
    <w:endnote w:id="0"/>
  </w:endnotePr>
  <w:compat/>
  <w:rsids>
    <w:rsidRoot w:val="008C09FA"/>
    <w:rsid w:val="00026D94"/>
    <w:rsid w:val="000632D6"/>
    <w:rsid w:val="00080A1C"/>
    <w:rsid w:val="000C3A36"/>
    <w:rsid w:val="00146A55"/>
    <w:rsid w:val="0016660F"/>
    <w:rsid w:val="00167221"/>
    <w:rsid w:val="001B09C6"/>
    <w:rsid w:val="001B7FAC"/>
    <w:rsid w:val="001C0DF1"/>
    <w:rsid w:val="001F7AA8"/>
    <w:rsid w:val="002D05D2"/>
    <w:rsid w:val="002E1713"/>
    <w:rsid w:val="002F4EF2"/>
    <w:rsid w:val="00313C95"/>
    <w:rsid w:val="00321175"/>
    <w:rsid w:val="00323494"/>
    <w:rsid w:val="00327089"/>
    <w:rsid w:val="003735E2"/>
    <w:rsid w:val="004410DE"/>
    <w:rsid w:val="00464D3D"/>
    <w:rsid w:val="00473991"/>
    <w:rsid w:val="004773A8"/>
    <w:rsid w:val="004C24DB"/>
    <w:rsid w:val="00507AC5"/>
    <w:rsid w:val="0051133B"/>
    <w:rsid w:val="00520BEB"/>
    <w:rsid w:val="00571812"/>
    <w:rsid w:val="005C0317"/>
    <w:rsid w:val="005E3F24"/>
    <w:rsid w:val="006A680B"/>
    <w:rsid w:val="0071269D"/>
    <w:rsid w:val="0074584E"/>
    <w:rsid w:val="00757AF7"/>
    <w:rsid w:val="00786E60"/>
    <w:rsid w:val="008C09FA"/>
    <w:rsid w:val="00914A5F"/>
    <w:rsid w:val="009250FA"/>
    <w:rsid w:val="009379AC"/>
    <w:rsid w:val="00992501"/>
    <w:rsid w:val="009A3819"/>
    <w:rsid w:val="009C76B4"/>
    <w:rsid w:val="00A57A93"/>
    <w:rsid w:val="00AB3EB6"/>
    <w:rsid w:val="00BD2C09"/>
    <w:rsid w:val="00C42BFE"/>
    <w:rsid w:val="00C77243"/>
    <w:rsid w:val="00C87FB7"/>
    <w:rsid w:val="00CA37C5"/>
    <w:rsid w:val="00D254EC"/>
    <w:rsid w:val="00D51FE8"/>
    <w:rsid w:val="00DD5A99"/>
    <w:rsid w:val="00DD7D27"/>
    <w:rsid w:val="00DE0B79"/>
    <w:rsid w:val="00E20778"/>
    <w:rsid w:val="00E23DD0"/>
    <w:rsid w:val="00EE5F07"/>
    <w:rsid w:val="00F7612D"/>
    <w:rsid w:val="00FA0FB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773A8"/>
    <w:pPr>
      <w:ind w:left="284" w:hanging="284"/>
    </w:pPr>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73A8"/>
    <w:pPr>
      <w:ind w:left="720"/>
      <w:contextualSpacing/>
    </w:pPr>
  </w:style>
  <w:style w:type="paragraph" w:styleId="Glava">
    <w:name w:val="header"/>
    <w:basedOn w:val="Navaden"/>
    <w:link w:val="GlavaZnak"/>
    <w:uiPriority w:val="99"/>
    <w:semiHidden/>
    <w:unhideWhenUsed/>
    <w:rsid w:val="00757AF7"/>
    <w:pPr>
      <w:tabs>
        <w:tab w:val="center" w:pos="4536"/>
        <w:tab w:val="right" w:pos="9072"/>
      </w:tabs>
    </w:pPr>
  </w:style>
  <w:style w:type="character" w:customStyle="1" w:styleId="GlavaZnak">
    <w:name w:val="Glava Znak"/>
    <w:basedOn w:val="Privzetapisavaodstavka"/>
    <w:link w:val="Glava"/>
    <w:uiPriority w:val="99"/>
    <w:semiHidden/>
    <w:rsid w:val="00757AF7"/>
  </w:style>
  <w:style w:type="paragraph" w:styleId="Noga">
    <w:name w:val="footer"/>
    <w:basedOn w:val="Navaden"/>
    <w:link w:val="NogaZnak"/>
    <w:uiPriority w:val="99"/>
    <w:unhideWhenUsed/>
    <w:rsid w:val="00757AF7"/>
    <w:pPr>
      <w:tabs>
        <w:tab w:val="center" w:pos="4536"/>
        <w:tab w:val="right" w:pos="9072"/>
      </w:tabs>
    </w:pPr>
  </w:style>
  <w:style w:type="character" w:customStyle="1" w:styleId="NogaZnak">
    <w:name w:val="Noga Znak"/>
    <w:basedOn w:val="Privzetapisavaodstavka"/>
    <w:link w:val="Noga"/>
    <w:uiPriority w:val="99"/>
    <w:rsid w:val="00757AF7"/>
  </w:style>
  <w:style w:type="paragraph" w:styleId="Besedilooblaka">
    <w:name w:val="Balloon Text"/>
    <w:basedOn w:val="Navaden"/>
    <w:link w:val="BesedilooblakaZnak"/>
    <w:uiPriority w:val="99"/>
    <w:semiHidden/>
    <w:unhideWhenUsed/>
    <w:rsid w:val="00757AF7"/>
    <w:rPr>
      <w:sz w:val="16"/>
      <w:szCs w:val="16"/>
    </w:rPr>
  </w:style>
  <w:style w:type="character" w:customStyle="1" w:styleId="BesedilooblakaZnak">
    <w:name w:val="Besedilo oblačka Znak"/>
    <w:basedOn w:val="Privzetapisavaodstavka"/>
    <w:link w:val="Besedilooblaka"/>
    <w:uiPriority w:val="99"/>
    <w:semiHidden/>
    <w:rsid w:val="00757AF7"/>
    <w:rPr>
      <w:sz w:val="16"/>
      <w:szCs w:val="16"/>
    </w:rPr>
  </w:style>
  <w:style w:type="paragraph" w:styleId="Navadensplet">
    <w:name w:val="Normal (Web)"/>
    <w:basedOn w:val="Navaden"/>
    <w:rsid w:val="00992501"/>
    <w:pPr>
      <w:spacing w:before="100" w:beforeAutospacing="1" w:after="100" w:afterAutospacing="1"/>
      <w:ind w:left="0" w:firstLine="0"/>
    </w:pPr>
    <w:rPr>
      <w:rFonts w:ascii="Times New Roman" w:eastAsia="Times New Roman" w:hAnsi="Times New Roman" w:cs="Times New Roman"/>
      <w:lang w:eastAsia="sl-SI"/>
    </w:rPr>
  </w:style>
</w:styles>
</file>

<file path=word/webSettings.xml><?xml version="1.0" encoding="utf-8"?>
<w:webSettings xmlns:r="http://schemas.openxmlformats.org/officeDocument/2006/relationships" xmlns:w="http://schemas.openxmlformats.org/wordprocessingml/2006/main">
  <w:divs>
    <w:div w:id="422069762">
      <w:bodyDiv w:val="1"/>
      <w:marLeft w:val="0"/>
      <w:marRight w:val="0"/>
      <w:marTop w:val="0"/>
      <w:marBottom w:val="0"/>
      <w:divBdr>
        <w:top w:val="none" w:sz="0" w:space="0" w:color="auto"/>
        <w:left w:val="none" w:sz="0" w:space="0" w:color="auto"/>
        <w:bottom w:val="none" w:sz="0" w:space="0" w:color="auto"/>
        <w:right w:val="none" w:sz="0" w:space="0" w:color="auto"/>
      </w:divBdr>
    </w:div>
    <w:div w:id="13906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491</Words>
  <Characters>2799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Lea Zlodej</cp:lastModifiedBy>
  <cp:revision>7</cp:revision>
  <dcterms:created xsi:type="dcterms:W3CDTF">2010-02-03T09:44:00Z</dcterms:created>
  <dcterms:modified xsi:type="dcterms:W3CDTF">2010-03-19T08:44:00Z</dcterms:modified>
</cp:coreProperties>
</file>